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67</w:t>
      </w:r>
    </w:p>
    <w:p>
      <w:r>
        <w:t>Bundesgericht (BGE), 1975-02-25, FR</w:t>
      </w:r>
    </w:p>
    <w:p>
      <w:r>
        <w:rPr>
          <w:b/>
        </w:rPr>
        <w:t xml:space="preserve">Quelle: </w:t>
      </w:r>
      <w:r>
        <w:t>https://mcp.opencaselaw.ch/entscheid/bge_101 IV 67</w:t>
      </w:r>
    </w:p>
    <w:p>
      <w:r>
        <w:t>FR: ATF 101 IV 67</w:t>
      </w:r>
    </w:p>
    <w:p>
      <w:r>
        <w:t>IT: DTF 101 IV 67</w:t>
      </w:r>
    </w:p>
    <w:p>
      <w:pPr>
        <w:pStyle w:val="Heading2"/>
      </w:pPr>
      <w:r>
        <w:t>Regeste</w:t>
      </w:r>
    </w:p>
    <w:p>
      <w:r>
        <w:t>Regeste Art. 32 Abs. 1 SVG, nichtangepasste Geschwindigkeit, adäquate Kausalität. Wer mit einer Geschwindigkeit fährt, die der Verkehrsdichte und den mangelhaften Kenntnissen über das Fahrzeug nicht angepasst ist, verhält sich in einer Weise, die geeignet ist, einen Unfall herbeizuführen. Es besteht infolgedessen eine adäquate Kausalität zwischen diesem Verhalten und einer Kollision, deren Hauptursache in einem Defekt des Bremssystems liegt. Dies gilt selbst dann, wenn man dem Fahrer keine pflichtwidrige Nichtbeherrschung des Fahrzeuges vorwerfen kann.</w:t>
      </w:r>
    </w:p>
    <w:p>
      <w:pPr>
        <w:pStyle w:val="Heading2"/>
      </w:pPr>
      <w:r>
        <w:t>Erwägungen</w:t>
      </w:r>
    </w:p>
    <w:p>
      <w:r>
        <w:rPr>
          <w:b/>
        </w:rPr>
        <w:t>E. 1</w:t>
      </w:r>
    </w:p>
    <w:p>
      <w:r>
        <w:t>Le recourant conteste qu'il y ait un lien de causalité adéquate entre d'une part l'excès de vitesse qui lui est reproché et d'autre part l'accident et la mort du conducteur de l'Opel. Il fait valoir que la cause de l'accident réside dans le défaut du système de freinage du véhicule, que la vitesse de BGE 101 IV 67 S. 70 105 km/h n'a eu aucune influence sur la pirouette de la voiture à la fin du freinage, puisque le défaut de construction entraîne cette conséquence à partir de 70 km/h déjà, que c'est le déplacement à gauche dû au défaut technique qui a causé l'accident et non la vitesse, et que par conséquent l'excès de celle-ci ne saurait être constitutif que d'une contravention au plus, et qui serait d'ailleurs prescrite.</w:t>
      </w:r>
    </w:p>
    <w:p>
      <w:r>
        <w:rPr>
          <w:b/>
        </w:rPr>
        <w:t>E. 2</w:t>
      </w:r>
    </w:p>
    <w:p>
      <w:r>
        <w:t>a) La relation de causalité naturelle entre l'excès de vitesse, l'accident et la mort de la victime ne paraît pas contestée et ne saurait l'être. Il y a en effet relation de causalité naturelle si la violation de règles de circulation a contribué avec d'autres causes au résultat (RO 95 IV 142). Tel est évidemment le cas. L'inadaptation de la vitesse aux circonstances, à savoir la contravention à l'art. 32 al. 1 LCR, n'est pas non plus contestée. Selon l'appréciation de la Cour cantonale, la vitesse du recourant était inadaptée dans la mesure où elle dépassait 80 km/h. En effet, si d'une manière générale il était possible de considérer comme adaptée une vitesse de 80 à 100 km/h au maximum, l'intensité de la circulation au moment critique et le fait que le recourant ne connaissait pas encore parfaitement les réactions de son véhicule exigeaient qu'il reste en dessous du maximum permis par la seule configuration des lieux et l'état de la chaussée et ne dépasse pas 80 km/h. Il n'y a aucun motif de s'écarter de cette appréciation de la Cour cantonale, qui jouit d'une certaine liberté dans ce domaine (RO 91 IV 142) et qui s'est fondée sur des critères parfaitement valables. b) La relation de causalité est adéquate lorsque le comportement illicite est propre, dans le cours ordinaire des choses et selon l'expérience générale de la vie, à produire ou à favoriser un tel résultat (RO 95 IV 143 et jurisprudence citée). Il n'est pas nécessaire que ce comportement illicite constitue la cause unique et immédiate du résultat; il suffit qu'il soit susceptible de le provoquer (RO 92 IV 87), voire de favoriser d'une manière générale l'avènement de conséquences d'une telle nature (RO 94 IV 76). Or, en l'espèce, si la cause principale de l'accident réside dans la défectuosité du système de freinage du véhicule du recourant, il n'en reste pas moins, selon les constatations souveraines de la Cour cantonale, qu'il est vraisemblable sinon certain que l'accident n'aurait pas eu de conséquences mortelles BGE 101 IV 67 S. 71 si le recourant n'avait pas roulé à plus de 80 km/h. La vitesse inadaptée et excessive de 105 km/h apparaît donc non seulement comme un facteur propre à favoriser le résultat - ici la mort - d'une manière générale, mais comme un élément qui l'a réellement favorisé dans le cas particulier. Il y a donc bien relation de causalité adéquate entre la mort de la victime et l'excès de vitesse commis par le recourant. c) Bien que l'existence d'une relation de causalité adéquate entre la faute du recourant et la mort de la victime suffise pour que soit réalisée l'infraction d'homicide par négligence, il faut encore relever qu'il y a également, en l'espèce, relation de causalité adéquate entre l'excès de vitesse et la collision. En effet, celui qui circule à une vitesse trop élevée et inadaptée aux circonstances crée une situation dangereuse qui l'expose davantage à devoir faire face à des situations imprévisibles en freinant brusquement et à fond. Or l'expérience enseigne qu'un tel freinage est source de dérapage et qu'à vitesse élevée, il est rare que le véhicule freiné à fond conserve une trajectoire rectiligne. Bussy et Rusconi précisent, à cet égard, qu'il est absolument impossible à un conducteur de garantir, en présence d'un danger imprévu, que son freinage évitera tout blocage des roues pouvant faciliter un dérapage, et qu'une voiture glissant sur des roues bloquées dévie généralement si elle dérape sur une certaine distance (BUSSY et RUSCONI, CSCR, p. 99 n. 4.8 ad art. 31). Ainsi, dans le cours ordinaire des choses et selon l'expérience générale de la vie, la vitesse inadaptée est bien propre à produire ou à favoriser un freinage énergique, susceptible d'entraîner un dérapage et partant une déviation du véhicule. Il y a donc relation de causalité adéquate même si, en l'espèce, la modification de la trajectoire a été due à une défectuosité du véhicule non imputable au recourant. d) Quant au fait qu'une perte de maîtrise fautive du véhicule n'ait pas été retenue à la charge du recourant, il ne saurait, contrairement à l'opinion de celui-ci, exclure l'existence d'un lien de causalité adéquate entre l'excès de vitesse d'une part et, d'autre part, la mort de la victime ou l'accident. Une conclusion contraire ne peut, en tout cas, être tirée des considérants de l'arrêt rendu par le Tribunal fédéral, le 20 septembre 1974, dans la même affaire. En admettant que, dans l'hypothèse où le recourant aurait roulé à 105 km/h et non pas BGE 101 IV 67 S. 72 à 125 km/h, on ne pouvait pas exclure que l'accident ait eu pour cause unique le vice de construction de la voiture, cet arrêt a tendu à démontrer que la seule perte de maîtrise ne permettait pas de retenir une faute à la charge du recourant. Mais l'arrêt a précisément renvoyé la cause à l'autorité cantonale non seulement pour qu'elle détermine de façon plus précise la vitesse du recourant, mais encore pour qu'elle apprécie si cette vitesse n'était pas trop élevée au vu des circonstances. Et il ne ressort aucunement de l'arrêt que dans l'hypothèse où la vitesse de 105 km/h devait être finalement retenue, et même si elle était considérée comme inadaptée, le recourant devrait être libéré du grief d'homicide par négligence, faute de causalité adéquate. Au contraire, en demandant à l'autorité cantonale de se prononcer sur le problème de l'adaptation de la vitesse quelle qu'elle fût, le Tribunal fédéral a implicitement admis que l'homicide par négligence pourrait être retenu. e) La vitesse inadaptée étant en relation de causalité adéquate avec la mort de la victime, c'est à juste titre que le recourant a été condamné pour homicide par négligence. Comme, par cette faute, il a également mis en danger d'autres usagers, l'application de l'art. 90 ch. 1 LCR, qui n'est d'ailleurs pas critiquée, est également fondée.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